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русскому языку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этап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202</w:t>
      </w:r>
      <w:r>
        <w:rPr>
          <w:rFonts w:ascii="Times New Roman" w:hAnsi="Times New Roman" w:cs="Times New Roman"/>
          <w:b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</w:rPr>
        <w:t xml:space="preserve">/202</w:t>
      </w:r>
      <w:r>
        <w:rPr>
          <w:rFonts w:ascii="Times New Roman" w:hAnsi="Times New Roman" w:cs="Times New Roman"/>
          <w:b/>
          <w:sz w:val="28"/>
          <w:szCs w:val="28"/>
        </w:rPr>
        <w:t xml:space="preserve"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7–8 </w:t>
      </w:r>
      <w:r>
        <w:rPr>
          <w:rFonts w:ascii="Times New Roman" w:hAnsi="Times New Roman" w:cs="Times New Roman"/>
          <w:b/>
          <w:sz w:val="28"/>
          <w:szCs w:val="28"/>
        </w:rPr>
        <w:t xml:space="preserve">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ы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120 минут</w:t>
      </w:r>
      <w:r/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/>
      <w:r/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tbl>
      <w:tblPr>
        <w:tblStyle w:val="644"/>
        <w:tblW w:w="0" w:type="auto"/>
        <w:tblLook w:val="04A0" w:firstRow="1" w:lastRow="0" w:firstColumn="1" w:lastColumn="0" w:noHBand="0" w:noVBand="1"/>
      </w:tblPr>
      <w:tblGrid>
        <w:gridCol w:w="1713"/>
        <w:gridCol w:w="933"/>
        <w:gridCol w:w="934"/>
        <w:gridCol w:w="972"/>
        <w:gridCol w:w="973"/>
        <w:gridCol w:w="935"/>
        <w:gridCol w:w="935"/>
        <w:gridCol w:w="998"/>
        <w:gridCol w:w="1235"/>
      </w:tblGrid>
      <w:tr>
        <w:trPr/>
        <w:tc>
          <w:tcPr>
            <w:tcW w:w="171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</w:t>
            </w:r>
            <w:r/>
          </w:p>
        </w:tc>
        <w:tc>
          <w:tcPr>
            <w:tcW w:w="93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</w:t>
            </w:r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</w:t>
            </w:r>
            <w:r/>
          </w:p>
        </w:tc>
        <w:tc>
          <w:tcPr>
            <w:tcW w:w="97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</w:t>
            </w:r>
            <w:r/>
          </w:p>
        </w:tc>
        <w:tc>
          <w:tcPr>
            <w:tcW w:w="9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</w:t>
            </w:r>
            <w:r/>
          </w:p>
        </w:tc>
        <w:tc>
          <w:tcPr>
            <w:tcW w:w="9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</w:t>
            </w:r>
            <w:r/>
          </w:p>
        </w:tc>
        <w:tc>
          <w:tcPr>
            <w:tcW w:w="9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</w:t>
            </w:r>
            <w:r/>
          </w:p>
        </w:tc>
        <w:tc>
          <w:tcPr>
            <w:tcW w:w="99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</w:t>
            </w:r>
            <w:r/>
          </w:p>
        </w:tc>
        <w:tc>
          <w:tcPr>
            <w:tcW w:w="12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</w:t>
            </w:r>
            <w:r/>
          </w:p>
        </w:tc>
      </w:tr>
      <w:tr>
        <w:trPr/>
        <w:tc>
          <w:tcPr>
            <w:tcW w:w="171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баллов</w:t>
            </w:r>
            <w:r/>
          </w:p>
        </w:tc>
        <w:tc>
          <w:tcPr>
            <w:tcW w:w="93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</w:t>
            </w:r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</w:t>
            </w:r>
            <w:r/>
          </w:p>
        </w:tc>
        <w:tc>
          <w:tcPr>
            <w:tcW w:w="97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</w:t>
            </w:r>
            <w:r/>
          </w:p>
        </w:tc>
        <w:tc>
          <w:tcPr>
            <w:tcW w:w="9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12</w:t>
            </w:r>
            <w:r/>
          </w:p>
        </w:tc>
        <w:tc>
          <w:tcPr>
            <w:tcW w:w="9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12</w:t>
            </w:r>
            <w:r/>
          </w:p>
        </w:tc>
        <w:tc>
          <w:tcPr>
            <w:tcW w:w="9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</w:t>
            </w:r>
            <w:r/>
          </w:p>
        </w:tc>
        <w:tc>
          <w:tcPr>
            <w:tcW w:w="99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</w:t>
            </w:r>
            <w:r/>
          </w:p>
        </w:tc>
        <w:tc>
          <w:tcPr>
            <w:tcW w:w="12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66</w:t>
            </w:r>
            <w:r/>
          </w:p>
        </w:tc>
      </w:tr>
    </w:tbl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 1 (5 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Слово – теней (1 балл). Начальная форма – тень (1 балл). Уменьшительно-ласкательная форма – тенёк (1 балл).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русском языке существительные женского рода имеют суффикс -к- (1 балл). Примеры: дверь – дверка, горсть – горстка, кровать – кроватка (1 балл).</w:t>
      </w:r>
      <w:r>
        <w:rPr>
          <w:rFonts w:ascii="Times New Roman" w:hAnsi="Times New Roman" w:cs="Times New Roman"/>
          <w:iCs/>
          <w:sz w:val="28"/>
          <w:szCs w:val="28"/>
        </w:rPr>
        <w:t xml:space="preserve"> Ученик может привести примеры любых существительных женского рода, подходящих под условие задания.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За верно указанные слова – по 1 баллу. Всего – 3 балла.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За верно указанный суффикс – 1 балл.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За 3 верно подобранных примера – 1 балл. Если ученик подобрал только 2 примера – 0 баллов.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Итого: 5 баллов.</w:t>
      </w:r>
      <w:r/>
    </w:p>
    <w:p>
      <w:pPr>
        <w:jc w:val="bot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2 (7 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(А) морок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(Б) заморочить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(В) изморозь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(Г) мерзкий / омерзительный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(Д) мороженое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(Е) мерзавец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(Ж) морозить / замораживать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верно заполненный пропуск – по 1 баллу. Всего 7 баллов.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</w:t>
      </w:r>
      <w:r>
        <w:rPr>
          <w:rFonts w:ascii="Times New Roman" w:hAnsi="Times New Roman" w:cs="Times New Roman"/>
          <w:iCs/>
          <w:sz w:val="28"/>
          <w:szCs w:val="28"/>
        </w:rPr>
        <w:t xml:space="preserve">лово морочить не засчитывается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, так как является глаголом</w:t>
      </w:r>
      <w:r>
        <w:rPr>
          <w:rFonts w:ascii="Times New Roman" w:hAnsi="Times New Roman" w:cs="Times New Roman"/>
          <w:iCs/>
          <w:sz w:val="28"/>
          <w:szCs w:val="28"/>
        </w:rPr>
        <w:t xml:space="preserve"> несов</w:t>
      </w:r>
      <w:r>
        <w:rPr>
          <w:rFonts w:ascii="Times New Roman" w:hAnsi="Times New Roman" w:cs="Times New Roman"/>
          <w:iCs/>
          <w:sz w:val="28"/>
          <w:szCs w:val="28"/>
        </w:rPr>
        <w:t xml:space="preserve">ершенного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вид</w:t>
      </w:r>
      <w:r>
        <w:rPr>
          <w:rFonts w:ascii="Times New Roman" w:hAnsi="Times New Roman" w:cs="Times New Roman"/>
          <w:iCs/>
          <w:sz w:val="28"/>
          <w:szCs w:val="28"/>
        </w:rPr>
        <w:t xml:space="preserve">а. С</w:t>
      </w:r>
      <w:r>
        <w:rPr>
          <w:rFonts w:ascii="Times New Roman" w:hAnsi="Times New Roman" w:cs="Times New Roman"/>
          <w:iCs/>
          <w:sz w:val="28"/>
          <w:szCs w:val="28"/>
        </w:rPr>
        <w:t xml:space="preserve">лов</w:t>
      </w:r>
      <w:r>
        <w:rPr>
          <w:rFonts w:ascii="Times New Roman" w:hAnsi="Times New Roman" w:cs="Times New Roman"/>
          <w:iCs/>
          <w:sz w:val="28"/>
          <w:szCs w:val="28"/>
        </w:rPr>
        <w:t xml:space="preserve">а</w:t>
      </w:r>
      <w:r>
        <w:rPr>
          <w:rFonts w:ascii="Times New Roman" w:hAnsi="Times New Roman" w:cs="Times New Roman"/>
          <w:iCs/>
          <w:sz w:val="28"/>
          <w:szCs w:val="28"/>
        </w:rPr>
        <w:t xml:space="preserve"> мразь</w:t>
      </w:r>
      <w:r>
        <w:rPr>
          <w:rFonts w:ascii="Times New Roman" w:hAnsi="Times New Roman" w:cs="Times New Roman"/>
          <w:iCs/>
          <w:sz w:val="28"/>
          <w:szCs w:val="28"/>
        </w:rPr>
        <w:t xml:space="preserve"> и</w:t>
      </w:r>
      <w:r>
        <w:rPr>
          <w:rFonts w:ascii="Times New Roman" w:hAnsi="Times New Roman" w:cs="Times New Roman"/>
          <w:iCs/>
          <w:sz w:val="28"/>
          <w:szCs w:val="28"/>
        </w:rPr>
        <w:t xml:space="preserve"> отморозок не засчитыва</w:t>
      </w:r>
      <w:r>
        <w:rPr>
          <w:rFonts w:ascii="Times New Roman" w:hAnsi="Times New Roman" w:cs="Times New Roman"/>
          <w:iCs/>
          <w:sz w:val="28"/>
          <w:szCs w:val="28"/>
        </w:rPr>
        <w:t xml:space="preserve">ю</w:t>
      </w:r>
      <w:r>
        <w:rPr>
          <w:rFonts w:ascii="Times New Roman" w:hAnsi="Times New Roman" w:cs="Times New Roman"/>
          <w:iCs/>
          <w:sz w:val="28"/>
          <w:szCs w:val="28"/>
        </w:rPr>
        <w:t xml:space="preserve">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, так как не являются общеупотребительными. Сл</w:t>
      </w:r>
      <w:r>
        <w:rPr>
          <w:rFonts w:ascii="Times New Roman" w:hAnsi="Times New Roman" w:cs="Times New Roman"/>
          <w:iCs/>
          <w:sz w:val="28"/>
          <w:szCs w:val="28"/>
        </w:rPr>
        <w:t xml:space="preserve">ово заморозить не засчитывается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, так как является глаголом</w:t>
      </w:r>
      <w:r>
        <w:rPr>
          <w:rFonts w:ascii="Times New Roman" w:hAnsi="Times New Roman" w:cs="Times New Roman"/>
          <w:iCs/>
          <w:sz w:val="28"/>
          <w:szCs w:val="28"/>
        </w:rPr>
        <w:t xml:space="preserve"> сов</w:t>
      </w:r>
      <w:r>
        <w:rPr>
          <w:rFonts w:ascii="Times New Roman" w:hAnsi="Times New Roman" w:cs="Times New Roman"/>
          <w:iCs/>
          <w:sz w:val="28"/>
          <w:szCs w:val="28"/>
        </w:rPr>
        <w:t xml:space="preserve">ершенного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вид</w:t>
      </w:r>
      <w:r>
        <w:rPr>
          <w:rFonts w:ascii="Times New Roman" w:hAnsi="Times New Roman" w:cs="Times New Roman"/>
          <w:iCs/>
          <w:sz w:val="28"/>
          <w:szCs w:val="28"/>
        </w:rPr>
        <w:t xml:space="preserve">а.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Итого: 7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3 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(А) окказионализмами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(Б) певун (1 балл)</w:t>
      </w:r>
      <w:r>
        <w:rPr>
          <w:rFonts w:ascii="Times New Roman" w:hAnsi="Times New Roman" w:cs="Times New Roman"/>
          <w:sz w:val="28"/>
          <w:szCs w:val="28"/>
        </w:rPr>
        <w:t xml:space="preserve">, если указано слово певец – 0,5 балла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(В) суффиксальным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(Г) поюнна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(Д) одна «н» пишется в основе, другая – в суффиксе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(Е) туманна или др. качественное прилагательное по условиям задания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(Ж) суффиксальным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(З) врем-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(И) -ирь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(К) времирь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верно заполненный пропуск – по 1 баллу. Всего 10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при анализе слова певун ученик указывает на наличие интерфикса – 1 балл без превышения общего количества баллов за задание.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 пункте (И) ученик указывает в качестве примера относительное прилагательное – 0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10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(12 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Времирей – существительное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в форме р</w:t>
      </w:r>
      <w:r>
        <w:rPr>
          <w:rFonts w:ascii="Times New Roman" w:hAnsi="Times New Roman" w:cs="Times New Roman"/>
          <w:iCs/>
          <w:sz w:val="28"/>
          <w:szCs w:val="28"/>
        </w:rPr>
        <w:t xml:space="preserve">одительно</w:t>
      </w:r>
      <w:r>
        <w:rPr>
          <w:rFonts w:ascii="Times New Roman" w:hAnsi="Times New Roman" w:cs="Times New Roman"/>
          <w:iCs/>
          <w:sz w:val="28"/>
          <w:szCs w:val="28"/>
        </w:rPr>
        <w:t xml:space="preserve">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падеж</w:t>
      </w:r>
      <w:r>
        <w:rPr>
          <w:rFonts w:ascii="Times New Roman" w:hAnsi="Times New Roman" w:cs="Times New Roman"/>
          <w:iCs/>
          <w:sz w:val="28"/>
          <w:szCs w:val="28"/>
        </w:rPr>
        <w:t xml:space="preserve">а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 множественно</w:t>
      </w:r>
      <w:r>
        <w:rPr>
          <w:rFonts w:ascii="Times New Roman" w:hAnsi="Times New Roman" w:cs="Times New Roman"/>
          <w:iCs/>
          <w:sz w:val="28"/>
          <w:szCs w:val="28"/>
        </w:rPr>
        <w:t xml:space="preserve">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iCs/>
          <w:sz w:val="28"/>
          <w:szCs w:val="28"/>
        </w:rPr>
        <w:t xml:space="preserve">а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. В предложении может выполнять синтаксическую функцию дополнения </w:t>
      </w:r>
      <w:r>
        <w:rPr>
          <w:rFonts w:ascii="Times New Roman" w:hAnsi="Times New Roman" w:cs="Times New Roman"/>
          <w:iCs/>
          <w:sz w:val="28"/>
          <w:szCs w:val="28"/>
        </w:rPr>
        <w:t xml:space="preserve">(1 балл) </w:t>
      </w:r>
      <w:r>
        <w:rPr>
          <w:rFonts w:ascii="Times New Roman" w:hAnsi="Times New Roman" w:cs="Times New Roman"/>
          <w:iCs/>
          <w:sz w:val="28"/>
          <w:szCs w:val="28"/>
        </w:rPr>
        <w:t xml:space="preserve">или определения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Да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, это слово может быть формой глагола повелительного наклонения 2 лица единственного числа, как, например, выздоровей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</w:rPr>
        <w:t xml:space="preserve">Времирей – нулевой формообразующий суффикс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, нулевое окончание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</w:t>
      </w:r>
      <w:r>
        <w:rPr>
          <w:rFonts w:ascii="Times New Roman" w:hAnsi="Times New Roman" w:cs="Times New Roman"/>
          <w:iCs/>
          <w:sz w:val="28"/>
          <w:szCs w:val="28"/>
        </w:rPr>
        <w:t xml:space="preserve">ыздороветь – времиреть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балл);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</w:t>
      </w:r>
      <w:r>
        <w:rPr>
          <w:rFonts w:ascii="Times New Roman" w:hAnsi="Times New Roman" w:cs="Times New Roman"/>
          <w:iCs/>
          <w:sz w:val="28"/>
          <w:szCs w:val="28"/>
        </w:rPr>
        <w:t xml:space="preserve">ыздоровеем – времиреем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балл);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</w:t>
      </w:r>
      <w:r>
        <w:rPr>
          <w:rFonts w:ascii="Times New Roman" w:hAnsi="Times New Roman" w:cs="Times New Roman"/>
          <w:iCs/>
          <w:sz w:val="28"/>
          <w:szCs w:val="28"/>
        </w:rPr>
        <w:t xml:space="preserve">ыздорове</w:t>
      </w:r>
      <w:r>
        <w:rPr>
          <w:rFonts w:ascii="Times New Roman" w:hAnsi="Times New Roman" w:cs="Times New Roman"/>
          <w:iCs/>
          <w:sz w:val="28"/>
          <w:szCs w:val="28"/>
        </w:rPr>
        <w:t xml:space="preserve">е</w:t>
      </w:r>
      <w:r>
        <w:rPr>
          <w:rFonts w:ascii="Times New Roman" w:hAnsi="Times New Roman" w:cs="Times New Roman"/>
          <w:iCs/>
          <w:sz w:val="28"/>
          <w:szCs w:val="28"/>
        </w:rPr>
        <w:t xml:space="preserve">те </w:t>
      </w:r>
      <w:r>
        <w:rPr>
          <w:rFonts w:ascii="Times New Roman" w:hAnsi="Times New Roman" w:cs="Times New Roman"/>
          <w:iCs/>
          <w:sz w:val="28"/>
          <w:szCs w:val="28"/>
        </w:rPr>
        <w:t xml:space="preserve">– </w:t>
      </w:r>
      <w:r>
        <w:rPr>
          <w:rFonts w:ascii="Times New Roman" w:hAnsi="Times New Roman" w:cs="Times New Roman"/>
          <w:iCs/>
          <w:sz w:val="28"/>
          <w:szCs w:val="28"/>
        </w:rPr>
        <w:t xml:space="preserve">времире</w:t>
      </w:r>
      <w:r>
        <w:rPr>
          <w:rFonts w:ascii="Times New Roman" w:hAnsi="Times New Roman" w:cs="Times New Roman"/>
          <w:iCs/>
          <w:sz w:val="28"/>
          <w:szCs w:val="28"/>
        </w:rPr>
        <w:t xml:space="preserve">е</w:t>
      </w:r>
      <w:r>
        <w:rPr>
          <w:rFonts w:ascii="Times New Roman" w:hAnsi="Times New Roman" w:cs="Times New Roman"/>
          <w:iCs/>
          <w:sz w:val="28"/>
          <w:szCs w:val="28"/>
        </w:rPr>
        <w:t xml:space="preserve">те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балл);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</w:t>
      </w:r>
      <w:r>
        <w:rPr>
          <w:rFonts w:ascii="Times New Roman" w:hAnsi="Times New Roman" w:cs="Times New Roman"/>
          <w:iCs/>
          <w:sz w:val="28"/>
          <w:szCs w:val="28"/>
        </w:rPr>
        <w:t xml:space="preserve">ыздоровеют – времиреют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Ученики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могут предложить другие глаголы</w:t>
      </w:r>
      <w:r>
        <w:rPr>
          <w:rFonts w:ascii="Times New Roman" w:hAnsi="Times New Roman" w:cs="Times New Roman"/>
          <w:iCs/>
          <w:sz w:val="28"/>
          <w:szCs w:val="28"/>
        </w:rPr>
        <w:t xml:space="preserve"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соответствующие заданию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выделенный шаг в рассуждении – по 1 баллу. Всего 12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12 баллов.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(12 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1: предложения 4, 6 (1 балл). Значение – «ситуация, происшествие» (1 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2: предложения 1, 5 (1 балл). Значение – «произведение живописи» (1 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3: предложения 3, 8 (1 балл). Значение – «представление, взгляд» (1 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4: предложения 2, 7 (1 балл). Значение – «фильм, кино»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Предложение 9 можно добавить в группу 2 со значением «произведение живописи» (1 балл), так как употребляется в прямом значении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Предложение 10 в 1 группу со значением «ситуация, происшествие» (1 балл). Картина маслом в этом контексте является устойчивым выражением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каждую верно выделенную группу предложений – по 1 баллу. Всего 4 балла.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каждое верно выделенное значение по группе – по 1 баллу. Всего 4 балла.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выбор групп для предложений 9 и 10 – по 1 баллу. Всего 2 балла.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каждое объяснение – по 1 баллу. Всего 2 балла.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12 баллов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6 (10 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Выписанные слова образованы путём сложения основ</w:t>
      </w:r>
      <w:r>
        <w:rPr>
          <w:rFonts w:ascii="Times New Roman" w:hAnsi="Times New Roman" w:cs="Times New Roman"/>
          <w:sz w:val="28"/>
          <w:szCs w:val="28"/>
        </w:rPr>
        <w:t xml:space="preserve"> (сложение с соединительной гласной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чистое сложение)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словах светотень, глухонемой, железобетон, юго-восток между основами можно поставить союз «и»; например, свет и тень, глухой и немой, железо и бетон, юг и восток </w:t>
      </w:r>
      <w:r>
        <w:rPr>
          <w:rFonts w:ascii="Times New Roman" w:hAnsi="Times New Roman" w:cs="Times New Roman"/>
          <w:sz w:val="28"/>
          <w:szCs w:val="28"/>
        </w:rPr>
        <w:t xml:space="preserve">(2 балла).</w:t>
      </w:r>
      <w:r>
        <w:rPr>
          <w:rFonts w:ascii="Times New Roman" w:hAnsi="Times New Roman" w:cs="Times New Roman"/>
          <w:sz w:val="28"/>
          <w:szCs w:val="28"/>
        </w:rPr>
        <w:t xml:space="preserve"> Если ребенок указал термин сочинительные отношения основ, то добавить 1 балл без превышения максимального количества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слове</w:t>
      </w:r>
      <w:r>
        <w:rPr>
          <w:rFonts w:ascii="Times New Roman" w:hAnsi="Times New Roman" w:cs="Times New Roman"/>
          <w:sz w:val="28"/>
          <w:szCs w:val="28"/>
        </w:rPr>
        <w:t xml:space="preserve"> первоисточник </w:t>
      </w:r>
      <w:r>
        <w:rPr>
          <w:rFonts w:ascii="Times New Roman" w:hAnsi="Times New Roman" w:cs="Times New Roman"/>
          <w:sz w:val="28"/>
          <w:szCs w:val="28"/>
        </w:rPr>
        <w:t xml:space="preserve">соединение основ построено на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сочетания слов «первый источник» </w:t>
      </w:r>
      <w:r>
        <w:rPr>
          <w:rFonts w:ascii="Times New Roman" w:hAnsi="Times New Roman" w:cs="Times New Roman"/>
          <w:sz w:val="28"/>
          <w:szCs w:val="28"/>
        </w:rPr>
        <w:t xml:space="preserve">(2 балла).</w:t>
      </w:r>
      <w:r>
        <w:rPr>
          <w:rFonts w:ascii="Times New Roman" w:hAnsi="Times New Roman" w:cs="Times New Roman"/>
          <w:sz w:val="28"/>
          <w:szCs w:val="28"/>
        </w:rPr>
        <w:t xml:space="preserve"> Если ребенок указал термин подчинительные </w:t>
      </w:r>
      <w:r>
        <w:rPr>
          <w:rFonts w:ascii="Times New Roman" w:hAnsi="Times New Roman" w:cs="Times New Roman"/>
          <w:sz w:val="28"/>
          <w:szCs w:val="28"/>
        </w:rPr>
        <w:t xml:space="preserve">отношения основ, то добавить 1 балл без превышения максимального количества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Слово носорог следует отнести к группе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(1 балл), так как слово носорог построено по следующей модели «нос в виде рога», где нос определяемое слово, а рог – определяющее (2 балла).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определение способа словообразования – 1 балл.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верную группировку </w:t>
      </w:r>
      <w:r>
        <w:rPr>
          <w:rFonts w:ascii="Times New Roman" w:hAnsi="Times New Roman" w:cs="Times New Roman"/>
          <w:sz w:val="28"/>
          <w:szCs w:val="28"/>
        </w:rPr>
        <w:t xml:space="preserve">слов и объяснение</w:t>
      </w:r>
      <w:r>
        <w:rPr>
          <w:rFonts w:ascii="Times New Roman" w:hAnsi="Times New Roman" w:cs="Times New Roman"/>
          <w:sz w:val="28"/>
          <w:szCs w:val="28"/>
        </w:rPr>
        <w:t xml:space="preserve"> – по 2 балла</w:t>
      </w:r>
      <w:r>
        <w:rPr>
          <w:rFonts w:ascii="Times New Roman" w:hAnsi="Times New Roman" w:cs="Times New Roman"/>
          <w:sz w:val="28"/>
          <w:szCs w:val="28"/>
        </w:rPr>
        <w:t xml:space="preserve">. Всего</w:t>
      </w:r>
      <w:r>
        <w:rPr>
          <w:rFonts w:ascii="Times New Roman" w:hAnsi="Times New Roman" w:cs="Times New Roman"/>
          <w:sz w:val="28"/>
          <w:szCs w:val="28"/>
        </w:rPr>
        <w:t xml:space="preserve"> 4 балла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верный выбор группы для слова носорог – 1 балл.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верное объяснение – 2 балла.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</w:t>
      </w:r>
      <w:r>
        <w:rPr>
          <w:rFonts w:ascii="Times New Roman" w:hAnsi="Times New Roman" w:cs="Times New Roman"/>
          <w:sz w:val="28"/>
          <w:szCs w:val="28"/>
        </w:rPr>
        <w:t xml:space="preserve">8</w:t>
      </w:r>
      <w:r>
        <w:rPr>
          <w:rFonts w:ascii="Times New Roman" w:hAnsi="Times New Roman" w:cs="Times New Roman"/>
          <w:sz w:val="28"/>
          <w:szCs w:val="28"/>
        </w:rPr>
        <w:t xml:space="preserve">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7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/>
      <w:bookmarkStart w:id="1" w:name="_Hlk214742854"/>
      <w:r>
        <w:rPr>
          <w:rFonts w:ascii="Times New Roman" w:hAnsi="Times New Roman" w:cs="Times New Roman"/>
          <w:bCs/>
          <w:iCs/>
          <w:sz w:val="28"/>
          <w:szCs w:val="28"/>
        </w:rPr>
        <w:t xml:space="preserve">Образец перевода:</w:t>
      </w:r>
      <w:bookmarkEnd w:id="1"/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Когда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один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друг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жела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л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выдать дочь замуж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просил у Александра приданого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ей, этот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приказал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дать ей пятьдесят талантов золота. Когда же просивший сказал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: «Достаточно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десяти талантов», Александр отвечал: «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Ты можешь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столько просить,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я же могу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дать столько, сколько сказал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я».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З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а каждое переведённое слово лексемами с другими корнями – по 1 баллу. Всего 8 баллов. Ученик для перевода слова может подобрать свой вариант, соответствующий по значению слову в древнерусском тексте. Если ученик переводит однокоренным словом, то 0 баллов. </w:t>
      </w:r>
      <w:r/>
    </w:p>
    <w:p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За передачу конструкции «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другу хотящю и просящу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» придаточной конструкцией со значением времени – 2 балла. </w:t>
      </w:r>
      <w:r/>
    </w:p>
    <w:sectPr>
      <w:footnotePr/>
      <w:endnotePr/>
      <w:type w:val="continuous"/>
      <w:pgSz w:w="11906" w:h="16838" w:orient="portrait"/>
      <w:pgMar w:top="1134" w:right="1134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lang w:val="ru-RU" w:eastAsia="zh-CN" w:bidi="hi-IN"/>
        <w14:ligatures w14:val="standardContextual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40"/>
    <w:next w:val="640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41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40"/>
    <w:next w:val="640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41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40"/>
    <w:next w:val="640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41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40"/>
    <w:next w:val="640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41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40"/>
    <w:next w:val="640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41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40"/>
    <w:next w:val="640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41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40"/>
    <w:next w:val="640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41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40"/>
    <w:next w:val="640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41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40"/>
    <w:next w:val="640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41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40"/>
    <w:next w:val="640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41"/>
    <w:link w:val="33"/>
    <w:uiPriority w:val="10"/>
    <w:rPr>
      <w:sz w:val="48"/>
      <w:szCs w:val="48"/>
    </w:rPr>
  </w:style>
  <w:style w:type="paragraph" w:styleId="35">
    <w:name w:val="Subtitle"/>
    <w:basedOn w:val="640"/>
    <w:next w:val="640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41"/>
    <w:link w:val="35"/>
    <w:uiPriority w:val="11"/>
    <w:rPr>
      <w:sz w:val="24"/>
      <w:szCs w:val="24"/>
    </w:rPr>
  </w:style>
  <w:style w:type="paragraph" w:styleId="37">
    <w:name w:val="Quote"/>
    <w:basedOn w:val="640"/>
    <w:next w:val="640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40"/>
    <w:next w:val="640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character" w:styleId="42">
    <w:name w:val="Header Char"/>
    <w:basedOn w:val="641"/>
    <w:link w:val="646"/>
    <w:uiPriority w:val="99"/>
  </w:style>
  <w:style w:type="character" w:styleId="44">
    <w:name w:val="Footer Char"/>
    <w:basedOn w:val="641"/>
    <w:link w:val="648"/>
    <w:uiPriority w:val="99"/>
  </w:style>
  <w:style w:type="paragraph" w:styleId="45">
    <w:name w:val="Caption"/>
    <w:basedOn w:val="640"/>
    <w:next w:val="6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648"/>
    <w:uiPriority w:val="99"/>
  </w:style>
  <w:style w:type="table" w:styleId="48">
    <w:name w:val="Table Grid Light"/>
    <w:basedOn w:val="6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7">
    <w:name w:val="List Table 7 Colorful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1">
    <w:name w:val="List Table 7 Colorful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4">
    <w:name w:val="Lined - Accent 2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8">
    <w:name w:val="Lined - Accent 6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1">
    <w:name w:val="Bordered &amp; Lined - Accent 2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5">
    <w:name w:val="Bordered &amp; Lined - Accent 6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4">
    <w:name w:val="footnote text"/>
    <w:basedOn w:val="640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41"/>
    <w:uiPriority w:val="99"/>
    <w:unhideWhenUsed/>
    <w:rPr>
      <w:vertAlign w:val="superscript"/>
    </w:rPr>
  </w:style>
  <w:style w:type="paragraph" w:styleId="177">
    <w:name w:val="endnote text"/>
    <w:basedOn w:val="640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41"/>
    <w:uiPriority w:val="99"/>
    <w:semiHidden/>
    <w:unhideWhenUsed/>
    <w:rPr>
      <w:vertAlign w:val="superscript"/>
    </w:rPr>
  </w:style>
  <w:style w:type="paragraph" w:styleId="180">
    <w:name w:val="toc 1"/>
    <w:basedOn w:val="640"/>
    <w:next w:val="640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40"/>
    <w:next w:val="640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40"/>
    <w:next w:val="640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40"/>
    <w:next w:val="640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40"/>
    <w:next w:val="640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40"/>
    <w:next w:val="640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40"/>
    <w:next w:val="640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40"/>
    <w:next w:val="640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40"/>
    <w:next w:val="640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40"/>
    <w:next w:val="640"/>
    <w:uiPriority w:val="99"/>
    <w:unhideWhenUsed/>
    <w:pPr>
      <w:spacing w:after="0" w:afterAutospacing="0"/>
    </w:pPr>
  </w:style>
  <w:style w:type="paragraph" w:styleId="640" w:default="1">
    <w:name w:val="Normal"/>
    <w:qFormat/>
    <w:pPr>
      <w:spacing w:after="200" w:line="276" w:lineRule="auto"/>
    </w:pPr>
    <w:rPr>
      <w:rFonts w:eastAsiaTheme="minorHAnsi"/>
      <w:szCs w:val="22"/>
      <w:lang w:eastAsia="en-US" w:bidi="ar-SA"/>
      <w14:ligatures w14:val="none"/>
    </w:rPr>
  </w:style>
  <w:style w:type="character" w:styleId="641" w:default="1">
    <w:name w:val="Default Paragraph Font"/>
    <w:uiPriority w:val="1"/>
    <w:semiHidden/>
    <w:unhideWhenUsed/>
  </w:style>
  <w:style w:type="table" w:styleId="6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3" w:default="1">
    <w:name w:val="No List"/>
    <w:uiPriority w:val="99"/>
    <w:semiHidden/>
    <w:unhideWhenUsed/>
  </w:style>
  <w:style w:type="table" w:styleId="644">
    <w:name w:val="Table Grid"/>
    <w:basedOn w:val="642"/>
    <w:uiPriority w:val="59"/>
    <w:pPr>
      <w:spacing w:after="0" w:line="240" w:lineRule="auto"/>
    </w:pPr>
    <w:rPr>
      <w:rFonts w:eastAsiaTheme="minorHAnsi"/>
      <w:szCs w:val="22"/>
      <w:lang w:eastAsia="en-US" w:bidi="ar-SA"/>
      <w14:ligatures w14:val="none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45">
    <w:name w:val="List Paragraph"/>
    <w:basedOn w:val="640"/>
    <w:uiPriority w:val="34"/>
    <w:qFormat/>
    <w:pPr>
      <w:contextualSpacing/>
      <w:ind w:left="720"/>
    </w:pPr>
  </w:style>
  <w:style w:type="paragraph" w:styleId="646">
    <w:name w:val="Header"/>
    <w:basedOn w:val="640"/>
    <w:link w:val="6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47" w:customStyle="1">
    <w:name w:val="Верхний колонтитул Знак"/>
    <w:basedOn w:val="641"/>
    <w:link w:val="646"/>
    <w:uiPriority w:val="99"/>
    <w:rPr>
      <w:rFonts w:eastAsiaTheme="minorHAnsi"/>
      <w:szCs w:val="22"/>
      <w:lang w:eastAsia="en-US" w:bidi="ar-SA"/>
      <w14:ligatures w14:val="none"/>
    </w:rPr>
  </w:style>
  <w:style w:type="paragraph" w:styleId="648">
    <w:name w:val="Footer"/>
    <w:basedOn w:val="640"/>
    <w:link w:val="64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49" w:customStyle="1">
    <w:name w:val="Нижний колонтитул Знак"/>
    <w:basedOn w:val="641"/>
    <w:link w:val="648"/>
    <w:uiPriority w:val="99"/>
    <w:rPr>
      <w:rFonts w:eastAsiaTheme="minorHAnsi"/>
      <w:szCs w:val="22"/>
      <w:lang w:eastAsia="en-US" w:bidi="ar-SA"/>
      <w14:ligatures w14:val="none"/>
    </w:rPr>
  </w:style>
  <w:style w:type="character" w:styleId="650">
    <w:name w:val="Placeholder Text"/>
    <w:basedOn w:val="641"/>
    <w:uiPriority w:val="99"/>
    <w:semiHidden/>
    <w:rPr>
      <w:color w:val="666666"/>
    </w:rPr>
  </w:style>
  <w:style w:type="character" w:styleId="651">
    <w:name w:val="Hyperlink"/>
    <w:basedOn w:val="641"/>
    <w:uiPriority w:val="99"/>
    <w:unhideWhenUsed/>
    <w:rPr>
      <w:color w:val="0563c1" w:themeColor="hyperlink"/>
      <w:u w:val="single"/>
    </w:rPr>
  </w:style>
  <w:style w:type="character" w:styleId="652" w:customStyle="1">
    <w:name w:val="Неразрешенное упоминание1"/>
    <w:basedOn w:val="64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Калинин</dc:creator>
  <cp:revision>10</cp:revision>
  <dcterms:created xsi:type="dcterms:W3CDTF">2025-11-22T11:38:00Z</dcterms:created>
  <dcterms:modified xsi:type="dcterms:W3CDTF">2025-11-26T06:23:30Z</dcterms:modified>
</cp:coreProperties>
</file>